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BA" w:rsidRDefault="007609BA" w:rsidP="007609BA">
      <w:pPr>
        <w:spacing w:after="0" w:line="240" w:lineRule="auto"/>
        <w:jc w:val="center"/>
        <w:rPr>
          <w:spacing w:val="-1"/>
          <w:sz w:val="24"/>
          <w:szCs w:val="24"/>
        </w:rPr>
      </w:pPr>
      <w:bookmarkStart w:id="0" w:name="_GoBack"/>
      <w:r>
        <w:rPr>
          <w:spacing w:val="-1"/>
          <w:sz w:val="24"/>
          <w:szCs w:val="24"/>
        </w:rPr>
        <w:t>СПИСОК</w:t>
      </w:r>
    </w:p>
    <w:p w:rsidR="007609BA" w:rsidRDefault="007609BA" w:rsidP="007609BA">
      <w:pPr>
        <w:pStyle w:val="a4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-1"/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трудов</w:t>
      </w:r>
      <w:r>
        <w:rPr>
          <w:spacing w:val="27"/>
          <w:sz w:val="24"/>
          <w:szCs w:val="24"/>
        </w:rPr>
        <w:t xml:space="preserve"> </w:t>
      </w:r>
    </w:p>
    <w:p w:rsidR="007609BA" w:rsidRDefault="007609BA" w:rsidP="007609BA">
      <w:pPr>
        <w:pStyle w:val="a4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p w:rsidR="007609BA" w:rsidRDefault="007609BA" w:rsidP="007609BA">
      <w:pPr>
        <w:pStyle w:val="a4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кандидата исторических наук</w:t>
      </w:r>
    </w:p>
    <w:p w:rsidR="007609BA" w:rsidRDefault="007609BA" w:rsidP="007609BA">
      <w:pPr>
        <w:pStyle w:val="a4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Майорова Романа Александровича</w:t>
      </w:r>
    </w:p>
    <w:p w:rsidR="007609BA" w:rsidRDefault="007609BA" w:rsidP="007609BA">
      <w:pPr>
        <w:pStyle w:val="a4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7609BA" w:rsidTr="00CF2957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7609BA" w:rsidRDefault="007609BA" w:rsidP="00CF2957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7609BA" w:rsidTr="00CF2957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609BA" w:rsidTr="00CF2957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7609BA" w:rsidTr="007609BA">
        <w:trPr>
          <w:trHeight w:hRule="exact" w:val="20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7609BA" w:rsidRDefault="007609BA" w:rsidP="007609BA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609BA">
              <w:rPr>
                <w:color w:val="000000"/>
                <w:sz w:val="22"/>
                <w:szCs w:val="22"/>
              </w:rPr>
              <w:t xml:space="preserve">«…Суть чада Святой, Соборной и Апостольской Церкви…» // «Гуманитарные науки и православная культура».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7609BA" w:rsidRDefault="007609BA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7609BA" w:rsidRDefault="007609BA" w:rsidP="007609BA">
            <w:pPr>
              <w:pStyle w:val="a3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7609BA">
              <w:rPr>
                <w:color w:val="000000"/>
                <w:sz w:val="22"/>
                <w:szCs w:val="22"/>
              </w:rPr>
              <w:t xml:space="preserve">Материалы Всероссийской научной конференции «Первые Пасхальные чтения». М. - Ярославль, 2003.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7609BA" w:rsidRDefault="007609BA" w:rsidP="007609BA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09BA">
              <w:rPr>
                <w:color w:val="000000"/>
                <w:sz w:val="22"/>
                <w:szCs w:val="22"/>
              </w:rPr>
              <w:t xml:space="preserve">С. 26–31. (0,25 </w:t>
            </w:r>
            <w:proofErr w:type="spellStart"/>
            <w:r w:rsidRPr="007609BA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7609BA">
              <w:rPr>
                <w:color w:val="000000"/>
                <w:sz w:val="22"/>
                <w:szCs w:val="22"/>
              </w:rPr>
              <w:t>л</w:t>
            </w:r>
            <w:proofErr w:type="spellEnd"/>
            <w:proofErr w:type="gramEnd"/>
            <w:r w:rsidRPr="007609BA">
              <w:rPr>
                <w:color w:val="000000"/>
                <w:sz w:val="22"/>
                <w:szCs w:val="22"/>
              </w:rPr>
              <w:t>.)</w:t>
            </w:r>
          </w:p>
          <w:p w:rsidR="007609BA" w:rsidRPr="00F45DE9" w:rsidRDefault="007609BA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F45DE9" w:rsidRDefault="007609BA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tr w:rsidR="007609BA" w:rsidTr="007609BA">
        <w:trPr>
          <w:trHeight w:hRule="exact" w:val="15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7609BA" w:rsidRDefault="007609BA" w:rsidP="007609BA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09BA">
              <w:rPr>
                <w:color w:val="000000"/>
                <w:sz w:val="22"/>
                <w:szCs w:val="22"/>
              </w:rPr>
              <w:t xml:space="preserve">Проекты учреждения единоверческих епископов в эпоху </w:t>
            </w:r>
            <w:proofErr w:type="spellStart"/>
            <w:r w:rsidRPr="007609BA">
              <w:rPr>
                <w:color w:val="000000"/>
                <w:sz w:val="22"/>
                <w:szCs w:val="22"/>
              </w:rPr>
              <w:t>свт</w:t>
            </w:r>
            <w:proofErr w:type="spellEnd"/>
            <w:r w:rsidRPr="007609BA">
              <w:rPr>
                <w:color w:val="000000"/>
                <w:sz w:val="22"/>
                <w:szCs w:val="22"/>
              </w:rPr>
              <w:t xml:space="preserve">. Филарета (Дроздова) // Труды научной конференции студентов и аспирантов «Ломоносов-2003». История.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Default="007609BA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7609BA" w:rsidRDefault="007609BA" w:rsidP="007609BA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09BA">
              <w:rPr>
                <w:color w:val="000000"/>
                <w:sz w:val="22"/>
                <w:szCs w:val="22"/>
              </w:rPr>
              <w:t xml:space="preserve">Сборник тезисов. – М.: МГУ, 2003.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7609BA" w:rsidRDefault="007609BA" w:rsidP="007609BA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09BA">
              <w:rPr>
                <w:color w:val="000000"/>
                <w:sz w:val="22"/>
                <w:szCs w:val="22"/>
              </w:rPr>
              <w:t xml:space="preserve">С. 36-39. (0,2 </w:t>
            </w:r>
            <w:proofErr w:type="spellStart"/>
            <w:r w:rsidRPr="007609BA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7609BA">
              <w:rPr>
                <w:color w:val="000000"/>
                <w:sz w:val="22"/>
                <w:szCs w:val="22"/>
              </w:rPr>
              <w:t>л</w:t>
            </w:r>
            <w:proofErr w:type="spellEnd"/>
            <w:proofErr w:type="gramEnd"/>
            <w:r w:rsidRPr="007609BA">
              <w:rPr>
                <w:color w:val="000000"/>
                <w:sz w:val="22"/>
                <w:szCs w:val="22"/>
              </w:rPr>
              <w:t>.)</w:t>
            </w:r>
          </w:p>
          <w:p w:rsidR="007609BA" w:rsidRPr="007609BA" w:rsidRDefault="007609BA" w:rsidP="007609BA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F45DE9" w:rsidRDefault="007609BA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bookmarkEnd w:id="0"/>
      <w:tr w:rsidR="007609BA" w:rsidTr="007609BA">
        <w:trPr>
          <w:trHeight w:hRule="exact" w:val="11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Default="007609BA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7609BA" w:rsidRDefault="007609BA" w:rsidP="007609BA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09BA">
              <w:rPr>
                <w:color w:val="000000"/>
                <w:sz w:val="22"/>
                <w:szCs w:val="22"/>
              </w:rPr>
              <w:t xml:space="preserve">К вопросу о единоверческом епископе (проекты Г.В. </w:t>
            </w:r>
            <w:proofErr w:type="spellStart"/>
            <w:r w:rsidRPr="007609BA">
              <w:rPr>
                <w:color w:val="000000"/>
                <w:sz w:val="22"/>
                <w:szCs w:val="22"/>
              </w:rPr>
              <w:t>Сенатова</w:t>
            </w:r>
            <w:proofErr w:type="spellEnd"/>
            <w:r w:rsidRPr="007609BA">
              <w:rPr>
                <w:color w:val="000000"/>
                <w:sz w:val="22"/>
                <w:szCs w:val="22"/>
              </w:rPr>
              <w:t xml:space="preserve"> и протоиерея Илии </w:t>
            </w:r>
            <w:proofErr w:type="spellStart"/>
            <w:r w:rsidRPr="007609BA">
              <w:rPr>
                <w:color w:val="000000"/>
                <w:sz w:val="22"/>
                <w:szCs w:val="22"/>
              </w:rPr>
              <w:t>Легатова</w:t>
            </w:r>
            <w:proofErr w:type="spellEnd"/>
            <w:r w:rsidRPr="007609BA">
              <w:rPr>
                <w:color w:val="000000"/>
                <w:sz w:val="22"/>
                <w:szCs w:val="22"/>
              </w:rPr>
              <w:t xml:space="preserve">) //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Default="007609BA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7609BA" w:rsidRDefault="007609BA" w:rsidP="007609BA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09BA">
              <w:rPr>
                <w:color w:val="000000"/>
                <w:sz w:val="22"/>
                <w:szCs w:val="22"/>
              </w:rPr>
              <w:t>Первые открытые исторические чтени</w:t>
            </w:r>
            <w:r>
              <w:rPr>
                <w:color w:val="000000"/>
                <w:sz w:val="22"/>
                <w:szCs w:val="22"/>
              </w:rPr>
              <w:t xml:space="preserve">я «Молодая наука». – М., 2003.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Default="007609BA" w:rsidP="00760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7609BA">
              <w:rPr>
                <w:color w:val="000000"/>
                <w:sz w:val="22"/>
                <w:szCs w:val="22"/>
              </w:rPr>
              <w:t>132-139</w:t>
            </w:r>
          </w:p>
          <w:p w:rsidR="007609BA" w:rsidRPr="007609BA" w:rsidRDefault="007609BA" w:rsidP="00760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609BA">
              <w:rPr>
                <w:color w:val="000000"/>
                <w:sz w:val="22"/>
                <w:szCs w:val="22"/>
              </w:rPr>
              <w:t xml:space="preserve">(0,35 </w:t>
            </w:r>
            <w:proofErr w:type="spellStart"/>
            <w:r w:rsidRPr="007609BA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7609BA">
              <w:rPr>
                <w:color w:val="000000"/>
                <w:sz w:val="22"/>
                <w:szCs w:val="22"/>
              </w:rPr>
              <w:t>л</w:t>
            </w:r>
            <w:proofErr w:type="spellEnd"/>
            <w:proofErr w:type="gramEnd"/>
            <w:r w:rsidRPr="007609BA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F45DE9" w:rsidRDefault="007609BA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tr w:rsidR="007609BA" w:rsidTr="00764998">
        <w:trPr>
          <w:trHeight w:hRule="exact" w:val="2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Default="00764998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7609BA" w:rsidRDefault="007609BA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09BA">
              <w:rPr>
                <w:color w:val="000000"/>
                <w:sz w:val="22"/>
                <w:szCs w:val="22"/>
              </w:rPr>
              <w:t xml:space="preserve">На пути к единоверческому епископу: основные вехи //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Default="00764998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7609BA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09BA">
              <w:rPr>
                <w:color w:val="000000"/>
                <w:sz w:val="22"/>
                <w:szCs w:val="22"/>
              </w:rPr>
              <w:t>Сборник материалов по итогам научно-исследовательской деятельности молодых ученых в области гуманитарных, естественных и технических наук в 2003 году. – М.: МПГУ, 2004. 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09BA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09BA">
              <w:rPr>
                <w:color w:val="000000"/>
                <w:sz w:val="22"/>
                <w:szCs w:val="22"/>
              </w:rPr>
              <w:t xml:space="preserve">С. 41-44. (0,2 </w:t>
            </w:r>
            <w:proofErr w:type="spellStart"/>
            <w:r w:rsidRPr="007609BA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7609BA">
              <w:rPr>
                <w:color w:val="000000"/>
                <w:sz w:val="22"/>
                <w:szCs w:val="22"/>
              </w:rPr>
              <w:t>л</w:t>
            </w:r>
            <w:proofErr w:type="spellEnd"/>
            <w:proofErr w:type="gramEnd"/>
            <w:r w:rsidRPr="007609BA">
              <w:rPr>
                <w:color w:val="000000"/>
                <w:sz w:val="22"/>
                <w:szCs w:val="22"/>
              </w:rPr>
              <w:t>.)</w:t>
            </w:r>
          </w:p>
          <w:p w:rsidR="007609BA" w:rsidRDefault="007609BA" w:rsidP="007609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BA" w:rsidRPr="00F45DE9" w:rsidRDefault="007609BA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tr w:rsidR="00764998" w:rsidTr="00764998">
        <w:trPr>
          <w:trHeight w:hRule="exact" w:val="15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09BA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 xml:space="preserve">Дискуссия о форме приобщения Святых Христовых </w:t>
            </w:r>
            <w:proofErr w:type="gramStart"/>
            <w:r w:rsidRPr="00764998">
              <w:rPr>
                <w:color w:val="000000"/>
                <w:sz w:val="22"/>
                <w:szCs w:val="22"/>
              </w:rPr>
              <w:t>Таин</w:t>
            </w:r>
            <w:proofErr w:type="gramEnd"/>
            <w:r w:rsidRPr="00764998">
              <w:rPr>
                <w:color w:val="000000"/>
                <w:sz w:val="22"/>
                <w:szCs w:val="22"/>
              </w:rPr>
              <w:t xml:space="preserve"> в московском Троице-Введенском единоверческом приходе // Старообрядчество: история, культура, современность.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09BA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 xml:space="preserve">Материалы. - М., 2005.- Т. 2.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>С. 76-85.</w:t>
            </w:r>
          </w:p>
          <w:p w:rsidR="00764998" w:rsidRPr="007609BA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F45DE9" w:rsidRDefault="00764998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tr w:rsidR="00764998" w:rsidTr="00764998">
        <w:trPr>
          <w:trHeight w:hRule="exact" w:val="8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>Из истории зарубежного единовер</w:t>
            </w:r>
            <w:r>
              <w:rPr>
                <w:color w:val="000000"/>
                <w:sz w:val="22"/>
                <w:szCs w:val="22"/>
              </w:rPr>
              <w:t xml:space="preserve">ия. Единоверцы 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Майнос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76499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64998">
              <w:rPr>
                <w:color w:val="000000"/>
                <w:sz w:val="22"/>
                <w:szCs w:val="22"/>
              </w:rPr>
              <w:t>Правда</w:t>
            </w:r>
            <w:proofErr w:type="gramEnd"/>
            <w:r w:rsidRPr="00764998">
              <w:rPr>
                <w:color w:val="000000"/>
                <w:sz w:val="22"/>
                <w:szCs w:val="22"/>
              </w:rPr>
              <w:t xml:space="preserve"> Православия. – 2006 .-№ 3(40). 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>С.7-11.</w:t>
            </w:r>
          </w:p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F45DE9" w:rsidRDefault="00764998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tr w:rsidR="00764998" w:rsidTr="00764998">
        <w:trPr>
          <w:trHeight w:hRule="exact" w:val="113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>К вопросу о переписке священник</w:t>
            </w:r>
            <w:proofErr w:type="gramStart"/>
            <w:r w:rsidRPr="00764998">
              <w:rPr>
                <w:color w:val="000000"/>
                <w:sz w:val="22"/>
                <w:szCs w:val="22"/>
              </w:rPr>
              <w:t>а Иоа</w:t>
            </w:r>
            <w:proofErr w:type="gramEnd"/>
            <w:r w:rsidRPr="00764998">
              <w:rPr>
                <w:color w:val="000000"/>
                <w:sz w:val="22"/>
                <w:szCs w:val="22"/>
              </w:rPr>
              <w:t xml:space="preserve">нна </w:t>
            </w:r>
            <w:proofErr w:type="spellStart"/>
            <w:r w:rsidRPr="00764998">
              <w:rPr>
                <w:color w:val="000000"/>
                <w:sz w:val="22"/>
                <w:szCs w:val="22"/>
              </w:rPr>
              <w:t>Верховского</w:t>
            </w:r>
            <w:proofErr w:type="spellEnd"/>
            <w:r w:rsidRPr="00764998">
              <w:rPr>
                <w:color w:val="000000"/>
                <w:sz w:val="22"/>
                <w:szCs w:val="22"/>
              </w:rPr>
              <w:t xml:space="preserve"> со старообрядцами г. Вольска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 xml:space="preserve">Старообрядчество: история, культура, современность. - М., 2007.- </w:t>
            </w:r>
            <w:proofErr w:type="spellStart"/>
            <w:r w:rsidRPr="00764998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764998">
              <w:rPr>
                <w:color w:val="000000"/>
                <w:sz w:val="22"/>
                <w:szCs w:val="22"/>
              </w:rPr>
              <w:t xml:space="preserve">. 12.-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764998">
              <w:rPr>
                <w:color w:val="000000"/>
                <w:sz w:val="22"/>
                <w:szCs w:val="22"/>
              </w:rPr>
              <w:t>112-116.</w:t>
            </w:r>
          </w:p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F45DE9" w:rsidRDefault="00764998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tr w:rsidR="00764998" w:rsidTr="00764998">
        <w:trPr>
          <w:trHeight w:hRule="exact" w:val="85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 xml:space="preserve">Единоверческий священник Иоанн </w:t>
            </w:r>
            <w:proofErr w:type="spellStart"/>
            <w:r w:rsidRPr="00764998">
              <w:rPr>
                <w:color w:val="000000"/>
                <w:sz w:val="22"/>
                <w:szCs w:val="22"/>
              </w:rPr>
              <w:t>Верховский</w:t>
            </w:r>
            <w:proofErr w:type="spellEnd"/>
            <w:r w:rsidRPr="00764998">
              <w:rPr>
                <w:color w:val="000000"/>
                <w:sz w:val="22"/>
                <w:szCs w:val="22"/>
              </w:rPr>
              <w:t xml:space="preserve"> в изгнании: деятельность и взгляды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 xml:space="preserve">Преподаватель XXI век. – М., 2007. - № 3. – </w:t>
            </w:r>
          </w:p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764998">
              <w:rPr>
                <w:color w:val="000000"/>
                <w:sz w:val="22"/>
                <w:szCs w:val="22"/>
              </w:rPr>
              <w:t>165-168.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F45DE9" w:rsidRDefault="00764998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tr w:rsidR="00764998" w:rsidTr="00764998">
        <w:trPr>
          <w:trHeight w:hRule="exact" w:val="310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 xml:space="preserve">(в соавторстве) История Русской Православной Церкви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 xml:space="preserve">Сборник учебно-методических комплексов дисциплин по специализации «История русской православной культуры» для студентов дневной формы </w:t>
            </w:r>
            <w:proofErr w:type="gramStart"/>
            <w:r w:rsidRPr="00764998">
              <w:rPr>
                <w:color w:val="000000"/>
                <w:sz w:val="22"/>
                <w:szCs w:val="22"/>
              </w:rPr>
              <w:t>обучения по специальности</w:t>
            </w:r>
            <w:proofErr w:type="gramEnd"/>
            <w:r w:rsidRPr="00764998">
              <w:rPr>
                <w:color w:val="000000"/>
                <w:sz w:val="22"/>
                <w:szCs w:val="22"/>
              </w:rPr>
              <w:t xml:space="preserve"> 050401 (032600) – История. – М.: МПГУ, 2008. –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>С. 45–62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F45DE9" w:rsidRDefault="00764998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tr w:rsidR="00764998" w:rsidTr="00764998">
        <w:trPr>
          <w:trHeight w:hRule="exact" w:val="312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 xml:space="preserve">История христианского искусства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Default="00764998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 xml:space="preserve">Сборник учебно-методических комплексов дисциплин по специализации «История русской православной культуры» для студентов дневной формы </w:t>
            </w:r>
            <w:proofErr w:type="gramStart"/>
            <w:r w:rsidRPr="00764998">
              <w:rPr>
                <w:color w:val="000000"/>
                <w:sz w:val="22"/>
                <w:szCs w:val="22"/>
              </w:rPr>
              <w:t>обучения по специальности</w:t>
            </w:r>
            <w:proofErr w:type="gramEnd"/>
            <w:r w:rsidRPr="00764998">
              <w:rPr>
                <w:color w:val="000000"/>
                <w:sz w:val="22"/>
                <w:szCs w:val="22"/>
              </w:rPr>
              <w:t xml:space="preserve"> 050401 (032600) – История. – М.: МПГУ, 2008. 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>С. 75-84.</w:t>
            </w:r>
          </w:p>
          <w:p w:rsidR="00764998" w:rsidRPr="00764998" w:rsidRDefault="00764998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98" w:rsidRPr="00F45DE9" w:rsidRDefault="00764998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  <w:r w:rsidRPr="00764998">
              <w:rPr>
                <w:color w:val="000000"/>
                <w:sz w:val="22"/>
                <w:szCs w:val="22"/>
              </w:rPr>
              <w:t>(в соавторстве)</w:t>
            </w:r>
          </w:p>
        </w:tc>
      </w:tr>
      <w:tr w:rsidR="00E520DC" w:rsidTr="00764998">
        <w:trPr>
          <w:trHeight w:hRule="exact" w:val="127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Default="00E520DC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 xml:space="preserve">Единоверие и лидер его </w:t>
            </w:r>
            <w:proofErr w:type="spellStart"/>
            <w:r w:rsidRPr="00764998">
              <w:rPr>
                <w:color w:val="000000"/>
                <w:sz w:val="22"/>
                <w:szCs w:val="22"/>
              </w:rPr>
              <w:t>соединенческого</w:t>
            </w:r>
            <w:proofErr w:type="spellEnd"/>
            <w:r w:rsidRPr="00764998">
              <w:rPr>
                <w:color w:val="000000"/>
                <w:sz w:val="22"/>
                <w:szCs w:val="22"/>
              </w:rPr>
              <w:t xml:space="preserve"> направления второй половины XIX века священник Иоанн </w:t>
            </w:r>
            <w:proofErr w:type="spellStart"/>
            <w:r w:rsidRPr="00764998">
              <w:rPr>
                <w:color w:val="000000"/>
                <w:sz w:val="22"/>
                <w:szCs w:val="22"/>
              </w:rPr>
              <w:t>Верховский</w:t>
            </w:r>
            <w:proofErr w:type="spellEnd"/>
            <w:r w:rsidRPr="00764998">
              <w:rPr>
                <w:color w:val="000000"/>
                <w:sz w:val="22"/>
                <w:szCs w:val="22"/>
              </w:rPr>
              <w:t xml:space="preserve">. </w:t>
            </w:r>
          </w:p>
          <w:p w:rsidR="00E520DC" w:rsidRPr="00764998" w:rsidRDefault="00E520DC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>
            <w:pPr>
              <w:rPr>
                <w:rFonts w:ascii="Times New Roman" w:hAnsi="Times New Roman" w:cs="Times New Roman"/>
              </w:rPr>
            </w:pPr>
            <w:proofErr w:type="spellStart"/>
            <w:r w:rsidRPr="00E520D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64998">
              <w:rPr>
                <w:color w:val="000000"/>
                <w:sz w:val="22"/>
                <w:szCs w:val="22"/>
              </w:rPr>
              <w:t>Автореф</w:t>
            </w:r>
            <w:proofErr w:type="spellEnd"/>
            <w:r w:rsidRPr="00764998">
              <w:rPr>
                <w:color w:val="000000"/>
                <w:sz w:val="22"/>
                <w:szCs w:val="22"/>
              </w:rPr>
              <w:t xml:space="preserve">. … канд. ист. наук. (07.00.02- отечественная история)- М.: МПГУ, 2008.-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>20с.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E520DC" w:rsidTr="00E520DC">
        <w:trPr>
          <w:trHeight w:hRule="exact" w:val="127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Default="00E520DC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 xml:space="preserve">К вопросу о </w:t>
            </w:r>
            <w:proofErr w:type="spellStart"/>
            <w:r w:rsidRPr="00764998">
              <w:rPr>
                <w:color w:val="000000"/>
                <w:sz w:val="22"/>
                <w:szCs w:val="22"/>
              </w:rPr>
              <w:t>эклезиологии</w:t>
            </w:r>
            <w:proofErr w:type="spellEnd"/>
            <w:r w:rsidRPr="00764998">
              <w:rPr>
                <w:color w:val="000000"/>
                <w:sz w:val="22"/>
                <w:szCs w:val="22"/>
              </w:rPr>
              <w:t xml:space="preserve"> единоверческого священник</w:t>
            </w:r>
            <w:proofErr w:type="gramStart"/>
            <w:r w:rsidRPr="00764998">
              <w:rPr>
                <w:color w:val="000000"/>
                <w:sz w:val="22"/>
                <w:szCs w:val="22"/>
              </w:rPr>
              <w:t>а Иоа</w:t>
            </w:r>
            <w:proofErr w:type="gramEnd"/>
            <w:r w:rsidRPr="00764998">
              <w:rPr>
                <w:color w:val="000000"/>
                <w:sz w:val="22"/>
                <w:szCs w:val="22"/>
              </w:rPr>
              <w:t xml:space="preserve">нна </w:t>
            </w:r>
            <w:proofErr w:type="spellStart"/>
            <w:r w:rsidRPr="00764998">
              <w:rPr>
                <w:color w:val="000000"/>
                <w:sz w:val="22"/>
                <w:szCs w:val="22"/>
              </w:rPr>
              <w:t>Верховского</w:t>
            </w:r>
            <w:proofErr w:type="spellEnd"/>
            <w:r w:rsidRPr="00764998">
              <w:rPr>
                <w:color w:val="000000"/>
                <w:sz w:val="22"/>
                <w:szCs w:val="22"/>
              </w:rPr>
              <w:t xml:space="preserve"> (отношения с </w:t>
            </w:r>
            <w:proofErr w:type="spellStart"/>
            <w:r w:rsidRPr="00764998">
              <w:rPr>
                <w:color w:val="000000"/>
                <w:sz w:val="22"/>
                <w:szCs w:val="22"/>
              </w:rPr>
              <w:t>Белокриницкой</w:t>
            </w:r>
            <w:proofErr w:type="spellEnd"/>
            <w:r w:rsidRPr="00764998">
              <w:rPr>
                <w:color w:val="000000"/>
                <w:sz w:val="22"/>
                <w:szCs w:val="22"/>
              </w:rPr>
              <w:t xml:space="preserve"> иерархией)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>
            <w:pPr>
              <w:rPr>
                <w:rFonts w:ascii="Times New Roman" w:hAnsi="Times New Roman" w:cs="Times New Roman"/>
              </w:rPr>
            </w:pPr>
            <w:proofErr w:type="spellStart"/>
            <w:r w:rsidRPr="00E520D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64998">
              <w:rPr>
                <w:color w:val="000000"/>
                <w:sz w:val="22"/>
                <w:szCs w:val="22"/>
              </w:rPr>
              <w:t xml:space="preserve">Церковь и общество в России: пути содружества и вызовы эпох. – М. – Ярославль: </w:t>
            </w:r>
            <w:proofErr w:type="spellStart"/>
            <w:r w:rsidRPr="00764998">
              <w:rPr>
                <w:color w:val="000000"/>
                <w:sz w:val="22"/>
                <w:szCs w:val="22"/>
              </w:rPr>
              <w:t>Ремдер</w:t>
            </w:r>
            <w:proofErr w:type="spellEnd"/>
            <w:r w:rsidRPr="00764998">
              <w:rPr>
                <w:color w:val="000000"/>
                <w:sz w:val="22"/>
                <w:szCs w:val="22"/>
              </w:rPr>
              <w:t>, 2008. 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764998">
              <w:rPr>
                <w:color w:val="000000"/>
                <w:sz w:val="22"/>
                <w:szCs w:val="22"/>
              </w:rPr>
              <w:t>160-167.</w:t>
            </w:r>
          </w:p>
          <w:p w:rsidR="00E520DC" w:rsidRPr="00764998" w:rsidRDefault="00E520DC" w:rsidP="0076499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E520DC" w:rsidTr="00E520DC">
        <w:trPr>
          <w:trHeight w:hRule="exact" w:val="12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Default="00E520DC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>Раскол в Русской Церкви и категория "народности" в трудах единоверческого священник</w:t>
            </w:r>
            <w:proofErr w:type="gramStart"/>
            <w:r w:rsidRPr="00E520DC">
              <w:rPr>
                <w:color w:val="000000"/>
                <w:sz w:val="22"/>
                <w:szCs w:val="22"/>
              </w:rPr>
              <w:t>а Иоа</w:t>
            </w:r>
            <w:proofErr w:type="gramEnd"/>
            <w:r w:rsidRPr="00E520DC">
              <w:rPr>
                <w:color w:val="000000"/>
                <w:sz w:val="22"/>
                <w:szCs w:val="22"/>
              </w:rPr>
              <w:t xml:space="preserve">нна </w:t>
            </w:r>
            <w:proofErr w:type="spellStart"/>
            <w:r w:rsidRPr="00E520DC">
              <w:rPr>
                <w:color w:val="000000"/>
                <w:sz w:val="22"/>
                <w:szCs w:val="22"/>
              </w:rPr>
              <w:t>Верховского</w:t>
            </w:r>
            <w:proofErr w:type="spellEnd"/>
            <w:r w:rsidRPr="00E520DC">
              <w:rPr>
                <w:color w:val="000000"/>
                <w:sz w:val="22"/>
                <w:szCs w:val="22"/>
              </w:rPr>
              <w:t xml:space="preserve"> // Раскол: догмат и обряд.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>
            <w:pPr>
              <w:rPr>
                <w:rFonts w:ascii="Times New Roman" w:hAnsi="Times New Roman" w:cs="Times New Roman"/>
              </w:rPr>
            </w:pPr>
            <w:proofErr w:type="spellStart"/>
            <w:r w:rsidRPr="00E520D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 xml:space="preserve">Материалы миссионерской богословской конференции. - </w:t>
            </w:r>
            <w:proofErr w:type="spellStart"/>
            <w:r w:rsidRPr="00E520DC">
              <w:rPr>
                <w:color w:val="000000"/>
                <w:sz w:val="22"/>
                <w:szCs w:val="22"/>
              </w:rPr>
              <w:t>Спб</w:t>
            </w:r>
            <w:proofErr w:type="spellEnd"/>
            <w:r w:rsidRPr="00E520DC">
              <w:rPr>
                <w:color w:val="000000"/>
                <w:sz w:val="22"/>
                <w:szCs w:val="22"/>
              </w:rPr>
              <w:t>., 2008. 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>С. 59-64.</w:t>
            </w:r>
          </w:p>
          <w:p w:rsid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E520DC" w:rsidTr="00E520DC">
        <w:trPr>
          <w:trHeight w:hRule="exact" w:val="141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Default="00E520DC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 xml:space="preserve">Единоверческий священник Иоанн </w:t>
            </w:r>
            <w:proofErr w:type="spellStart"/>
            <w:r w:rsidRPr="00E520DC">
              <w:rPr>
                <w:color w:val="000000"/>
                <w:sz w:val="22"/>
                <w:szCs w:val="22"/>
              </w:rPr>
              <w:t>Верховский</w:t>
            </w:r>
            <w:proofErr w:type="spellEnd"/>
            <w:r w:rsidRPr="00E520DC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520DC">
              <w:rPr>
                <w:color w:val="000000"/>
                <w:sz w:val="22"/>
                <w:szCs w:val="22"/>
              </w:rPr>
              <w:t>Мануловском</w:t>
            </w:r>
            <w:proofErr w:type="spellEnd"/>
            <w:r w:rsidRPr="00E520DC">
              <w:rPr>
                <w:color w:val="000000"/>
                <w:sz w:val="22"/>
                <w:szCs w:val="22"/>
              </w:rPr>
              <w:t xml:space="preserve"> старообрядческом монастыре//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>
            <w:pPr>
              <w:rPr>
                <w:rFonts w:ascii="Times New Roman" w:hAnsi="Times New Roman" w:cs="Times New Roman"/>
              </w:rPr>
            </w:pPr>
            <w:proofErr w:type="spellStart"/>
            <w:r w:rsidRPr="00E520D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>Липоване-Вып.VI. -Одесса,2009.-</w:t>
            </w:r>
          </w:p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>С.89-94.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E520DC" w:rsidTr="00E520DC">
        <w:trPr>
          <w:trHeight w:hRule="exact" w:val="22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Default="00E520DC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 xml:space="preserve">Идеальное устройство Церкви и категория соборности в трудах единоверческого священника Иоанна </w:t>
            </w:r>
            <w:proofErr w:type="spellStart"/>
            <w:r w:rsidRPr="00E520DC">
              <w:rPr>
                <w:color w:val="000000"/>
                <w:sz w:val="22"/>
                <w:szCs w:val="22"/>
              </w:rPr>
              <w:t>Верховского</w:t>
            </w:r>
            <w:proofErr w:type="spellEnd"/>
            <w:proofErr w:type="gramStart"/>
            <w:r w:rsidRPr="00E520DC">
              <w:rPr>
                <w:color w:val="000000"/>
                <w:sz w:val="22"/>
                <w:szCs w:val="22"/>
              </w:rPr>
              <w:t xml:space="preserve"> // Н</w:t>
            </w:r>
            <w:proofErr w:type="gramEnd"/>
            <w:r w:rsidRPr="00E520DC">
              <w:rPr>
                <w:color w:val="000000"/>
                <w:sz w:val="22"/>
                <w:szCs w:val="22"/>
              </w:rPr>
              <w:t xml:space="preserve">а ниве Христовой.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>
            <w:pPr>
              <w:rPr>
                <w:rFonts w:ascii="Times New Roman" w:hAnsi="Times New Roman" w:cs="Times New Roman"/>
              </w:rPr>
            </w:pPr>
            <w:proofErr w:type="spellStart"/>
            <w:r w:rsidRPr="00E520D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 xml:space="preserve">Материалы Всероссийской научно-богословской конференции "IV Свято-Филаретовские чтения, 10-11 декабря 2008 года. М.-Ярославль: Ремдер,2009.-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>С.136-142.</w:t>
            </w:r>
          </w:p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E520DC" w:rsidTr="00E520DC">
        <w:trPr>
          <w:trHeight w:hRule="exact" w:val="8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Default="00E520DC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>Окружение петербургского единоверческого священник</w:t>
            </w:r>
            <w:proofErr w:type="gramStart"/>
            <w:r w:rsidRPr="00E520DC">
              <w:rPr>
                <w:color w:val="000000"/>
                <w:sz w:val="22"/>
                <w:szCs w:val="22"/>
              </w:rPr>
              <w:t>а Иоа</w:t>
            </w:r>
            <w:proofErr w:type="gramEnd"/>
            <w:r w:rsidRPr="00E520DC">
              <w:rPr>
                <w:color w:val="000000"/>
                <w:sz w:val="22"/>
                <w:szCs w:val="22"/>
              </w:rPr>
              <w:t xml:space="preserve">нна </w:t>
            </w:r>
            <w:proofErr w:type="spellStart"/>
            <w:r w:rsidRPr="00E520DC">
              <w:rPr>
                <w:color w:val="000000"/>
                <w:sz w:val="22"/>
                <w:szCs w:val="22"/>
              </w:rPr>
              <w:t>Верховского</w:t>
            </w:r>
            <w:proofErr w:type="spellEnd"/>
            <w:r w:rsidRPr="00E520DC">
              <w:rPr>
                <w:color w:val="000000"/>
                <w:sz w:val="22"/>
                <w:szCs w:val="22"/>
              </w:rPr>
              <w:t xml:space="preserve"> // </w:t>
            </w:r>
            <w:proofErr w:type="spellStart"/>
            <w:r w:rsidRPr="00E520DC">
              <w:rPr>
                <w:color w:val="000000"/>
                <w:sz w:val="22"/>
                <w:szCs w:val="22"/>
              </w:rPr>
              <w:t>Липоване</w:t>
            </w:r>
            <w:proofErr w:type="spellEnd"/>
            <w:r w:rsidRPr="00E520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>
            <w:pPr>
              <w:rPr>
                <w:rFonts w:ascii="Times New Roman" w:hAnsi="Times New Roman" w:cs="Times New Roman"/>
              </w:rPr>
            </w:pPr>
            <w:proofErr w:type="spellStart"/>
            <w:r w:rsidRPr="00E520D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520DC">
              <w:rPr>
                <w:color w:val="000000"/>
                <w:sz w:val="22"/>
                <w:szCs w:val="22"/>
              </w:rPr>
              <w:t>Вып.VII</w:t>
            </w:r>
            <w:proofErr w:type="spellEnd"/>
            <w:r w:rsidRPr="00E520DC">
              <w:rPr>
                <w:color w:val="000000"/>
                <w:sz w:val="22"/>
                <w:szCs w:val="22"/>
              </w:rPr>
              <w:t xml:space="preserve">. – Одесса - Измаил, 2010.-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>С. 78 - 87.</w:t>
            </w:r>
          </w:p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E520DC" w:rsidTr="00E520DC">
        <w:trPr>
          <w:trHeight w:hRule="exact" w:val="1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Default="00E520DC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 xml:space="preserve">К вопросу о попытках изменения положения единоверия во второй половине XIX века (дискуссия 1877 года) //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>
            <w:pPr>
              <w:rPr>
                <w:rFonts w:ascii="Times New Roman" w:hAnsi="Times New Roman" w:cs="Times New Roman"/>
              </w:rPr>
            </w:pPr>
            <w:proofErr w:type="spellStart"/>
            <w:r w:rsidRPr="00E520D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 xml:space="preserve">Церковь и русский мир: история, традиции, современность. Москва-Ярославль: </w:t>
            </w:r>
            <w:proofErr w:type="spellStart"/>
            <w:r w:rsidRPr="00E520DC">
              <w:rPr>
                <w:color w:val="000000"/>
                <w:sz w:val="22"/>
                <w:szCs w:val="22"/>
              </w:rPr>
              <w:t>Ремдер</w:t>
            </w:r>
            <w:proofErr w:type="spellEnd"/>
            <w:r w:rsidRPr="00E520DC">
              <w:rPr>
                <w:color w:val="000000"/>
                <w:sz w:val="22"/>
                <w:szCs w:val="22"/>
              </w:rPr>
              <w:t>, 2010.-</w:t>
            </w:r>
            <w:r w:rsidRPr="00E520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>С.126-131.</w:t>
            </w:r>
          </w:p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E520DC" w:rsidTr="00393FE3">
        <w:trPr>
          <w:trHeight w:hRule="exact" w:val="184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Default="00393FE3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393FE3" w:rsidP="00393FE3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 xml:space="preserve">Епископ </w:t>
            </w:r>
            <w:proofErr w:type="spellStart"/>
            <w:r w:rsidRPr="00E520DC">
              <w:rPr>
                <w:color w:val="000000"/>
                <w:sz w:val="22"/>
                <w:szCs w:val="22"/>
              </w:rPr>
              <w:t>Иустин</w:t>
            </w:r>
            <w:proofErr w:type="spellEnd"/>
            <w:r w:rsidRPr="00E520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0DC">
              <w:rPr>
                <w:color w:val="000000"/>
                <w:sz w:val="22"/>
                <w:szCs w:val="22"/>
              </w:rPr>
              <w:t>Тульчинский</w:t>
            </w:r>
            <w:proofErr w:type="spellEnd"/>
            <w:r w:rsidRPr="00E520DC">
              <w:rPr>
                <w:color w:val="000000"/>
                <w:sz w:val="22"/>
                <w:szCs w:val="22"/>
              </w:rPr>
              <w:t xml:space="preserve"> (по материалам Отдела Рукописей Российской Государственной Библиотеки)//</w:t>
            </w:r>
            <w:r w:rsidRPr="00E520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393FE3">
            <w:pPr>
              <w:rPr>
                <w:rFonts w:ascii="Times New Roman" w:hAnsi="Times New Roman" w:cs="Times New Roman"/>
              </w:rPr>
            </w:pPr>
            <w:proofErr w:type="spellStart"/>
            <w:r w:rsidRPr="00E520DC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393FE3" w:rsidP="00393FE3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520DC">
              <w:rPr>
                <w:color w:val="000000"/>
                <w:sz w:val="22"/>
                <w:szCs w:val="22"/>
              </w:rPr>
              <w:t>Культура русских-</w:t>
            </w:r>
            <w:proofErr w:type="spellStart"/>
            <w:r w:rsidRPr="00E520DC">
              <w:rPr>
                <w:color w:val="000000"/>
                <w:sz w:val="22"/>
                <w:szCs w:val="22"/>
              </w:rPr>
              <w:t>липован</w:t>
            </w:r>
            <w:proofErr w:type="spellEnd"/>
            <w:r w:rsidRPr="00E520DC">
              <w:rPr>
                <w:color w:val="000000"/>
                <w:sz w:val="22"/>
                <w:szCs w:val="22"/>
              </w:rPr>
              <w:t xml:space="preserve"> в национальном и международном контексте. </w:t>
            </w:r>
            <w:proofErr w:type="spellStart"/>
            <w:r w:rsidRPr="00E520DC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E520DC">
              <w:rPr>
                <w:color w:val="000000"/>
                <w:sz w:val="22"/>
                <w:szCs w:val="22"/>
              </w:rPr>
              <w:t>. 4. Бухаре</w:t>
            </w:r>
            <w:r>
              <w:rPr>
                <w:color w:val="000000"/>
                <w:sz w:val="22"/>
                <w:szCs w:val="22"/>
              </w:rPr>
              <w:t>ст: Издательство «CRLR», 2011.</w:t>
            </w:r>
            <w:r w:rsidRPr="00E520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E520DC" w:rsidRDefault="00E520DC" w:rsidP="00E520DC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DC" w:rsidRPr="00764998" w:rsidRDefault="00E520DC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</w:tbl>
    <w:p w:rsidR="007609BA" w:rsidRDefault="007609BA" w:rsidP="007609BA">
      <w:pP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</w:p>
    <w:p w:rsidR="007609BA" w:rsidRDefault="007609BA"/>
    <w:sectPr w:rsidR="007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4"/>
    <w:rsid w:val="00393FE3"/>
    <w:rsid w:val="007609BA"/>
    <w:rsid w:val="00764998"/>
    <w:rsid w:val="00B61A2C"/>
    <w:rsid w:val="00E20494"/>
    <w:rsid w:val="00E5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7609BA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7609B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6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7609BA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7609B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6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2023-02-13T08:54:00Z</dcterms:created>
  <dcterms:modified xsi:type="dcterms:W3CDTF">2023-02-16T12:00:00Z</dcterms:modified>
</cp:coreProperties>
</file>